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2A04F" w14:textId="4AD4AD4D" w:rsidR="001528C4" w:rsidRPr="001528C4" w:rsidRDefault="001528C4" w:rsidP="001528C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528C4">
        <w:rPr>
          <w:rFonts w:ascii="Arial" w:hAnsi="Arial" w:cs="Arial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1" locked="0" layoutInCell="0" allowOverlap="1" wp14:anchorId="6ADCF3A4" wp14:editId="0244DE02">
            <wp:simplePos x="0" y="0"/>
            <wp:positionH relativeFrom="margin">
              <wp:posOffset>1804946</wp:posOffset>
            </wp:positionH>
            <wp:positionV relativeFrom="page">
              <wp:posOffset>1001864</wp:posOffset>
            </wp:positionV>
            <wp:extent cx="1868557" cy="1868557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04" cy="18713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B28D39" w14:textId="77777777" w:rsidR="001528C4" w:rsidRPr="001528C4" w:rsidRDefault="001528C4" w:rsidP="001528C4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B5D625B" w14:textId="77777777" w:rsidR="001528C4" w:rsidRPr="001528C4" w:rsidRDefault="001528C4" w:rsidP="001528C4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A6A0F31" w14:textId="77777777" w:rsidR="001528C4" w:rsidRPr="001528C4" w:rsidRDefault="001528C4" w:rsidP="001528C4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7658F71" w14:textId="77777777" w:rsidR="001528C4" w:rsidRPr="001528C4" w:rsidRDefault="001528C4" w:rsidP="001528C4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53E4DD8" w14:textId="77777777" w:rsidR="001528C4" w:rsidRPr="001528C4" w:rsidRDefault="001528C4" w:rsidP="001528C4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1264F09" w14:textId="77777777" w:rsidR="001528C4" w:rsidRPr="001528C4" w:rsidRDefault="001528C4" w:rsidP="001528C4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99D4414" w14:textId="77777777" w:rsidR="001528C4" w:rsidRPr="001528C4" w:rsidRDefault="001528C4" w:rsidP="001528C4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C67F9DE" w14:textId="1A8A6C6C" w:rsidR="00373C05" w:rsidRDefault="00373C05" w:rsidP="00373C05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Occupational </w:t>
      </w:r>
      <w:r w:rsidR="009E695C" w:rsidRPr="00373C05">
        <w:rPr>
          <w:rFonts w:ascii="Arial" w:hAnsi="Arial" w:cs="Arial"/>
          <w:b/>
          <w:bCs/>
          <w:sz w:val="36"/>
          <w:szCs w:val="36"/>
        </w:rPr>
        <w:t>Maternity Pay</w:t>
      </w:r>
    </w:p>
    <w:p w14:paraId="03D60BA5" w14:textId="0926B12E" w:rsidR="009E695C" w:rsidRPr="00373C05" w:rsidRDefault="009E695C" w:rsidP="00373C05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373C05">
        <w:rPr>
          <w:rFonts w:ascii="Arial" w:hAnsi="Arial" w:cs="Arial"/>
          <w:b/>
          <w:bCs/>
          <w:sz w:val="36"/>
          <w:szCs w:val="36"/>
        </w:rPr>
        <w:t>Equal Payments Guidance</w:t>
      </w:r>
    </w:p>
    <w:p w14:paraId="7F9D77C5" w14:textId="77777777" w:rsidR="009E695C" w:rsidRPr="001528C4" w:rsidRDefault="009E695C" w:rsidP="001528C4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56860B7" w14:textId="77777777" w:rsidR="001528C4" w:rsidRDefault="001528C4" w:rsidP="001528C4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0764F06" w14:textId="77777777" w:rsidR="001528C4" w:rsidRDefault="001528C4" w:rsidP="001528C4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D81927B" w14:textId="77777777" w:rsidR="001528C4" w:rsidRDefault="001528C4" w:rsidP="001528C4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F0969F2" w14:textId="77777777" w:rsidR="001528C4" w:rsidRDefault="001528C4" w:rsidP="001528C4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8F6744F" w14:textId="77777777" w:rsidR="001528C4" w:rsidRDefault="001528C4" w:rsidP="001528C4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7E57237" w14:textId="77777777" w:rsidR="001528C4" w:rsidRDefault="001528C4" w:rsidP="001528C4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BBDE4E0" w14:textId="77777777" w:rsidR="001528C4" w:rsidRDefault="001528C4" w:rsidP="001528C4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3BE987A" w14:textId="77777777" w:rsidR="001528C4" w:rsidRDefault="001528C4" w:rsidP="001528C4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C86568D" w14:textId="77777777" w:rsidR="001528C4" w:rsidRDefault="001528C4" w:rsidP="001528C4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D451C22" w14:textId="77777777" w:rsidR="001528C4" w:rsidRDefault="001528C4" w:rsidP="001528C4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F5FF061" w14:textId="77777777" w:rsidR="001528C4" w:rsidRDefault="001528C4" w:rsidP="001528C4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9B9E924" w14:textId="77777777" w:rsidR="001528C4" w:rsidRDefault="001528C4" w:rsidP="001528C4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CD71005" w14:textId="77777777" w:rsidR="001528C4" w:rsidRDefault="001528C4" w:rsidP="001528C4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44F0BF7" w14:textId="77777777" w:rsidR="001528C4" w:rsidRDefault="001528C4" w:rsidP="001528C4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3739346" w14:textId="77777777" w:rsidR="001528C4" w:rsidRDefault="001528C4" w:rsidP="001528C4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025CA37" w14:textId="77777777" w:rsidR="001528C4" w:rsidRDefault="001528C4" w:rsidP="001528C4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89DD20C" w14:textId="77777777" w:rsidR="001528C4" w:rsidRDefault="001528C4" w:rsidP="001528C4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0D0D3C7" w14:textId="77777777" w:rsidR="001528C4" w:rsidRDefault="001528C4" w:rsidP="001528C4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D60DF4E" w14:textId="77777777" w:rsidR="001528C4" w:rsidRDefault="001528C4" w:rsidP="001528C4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FBE36EA" w14:textId="77777777" w:rsidR="001528C4" w:rsidRDefault="001528C4" w:rsidP="001528C4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5944663" w14:textId="686397AA" w:rsidR="001528C4" w:rsidRDefault="001528C4" w:rsidP="001528C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528C4">
        <w:rPr>
          <w:rFonts w:ascii="Arial" w:hAnsi="Arial" w:cs="Arial"/>
          <w:b/>
          <w:bCs/>
          <w:sz w:val="24"/>
          <w:szCs w:val="24"/>
        </w:rPr>
        <w:t>Introduction</w:t>
      </w:r>
    </w:p>
    <w:p w14:paraId="5D2DEFA7" w14:textId="119AAEA8" w:rsidR="00674F44" w:rsidRPr="001528C4" w:rsidRDefault="00674F44" w:rsidP="001528C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74F44">
        <w:rPr>
          <w:rFonts w:ascii="Arial" w:hAnsi="Arial" w:cs="Arial"/>
          <w:sz w:val="24"/>
          <w:szCs w:val="24"/>
        </w:rPr>
        <w:t>Maternity pay is made up of two elements,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528C4">
        <w:rPr>
          <w:rFonts w:ascii="Arial" w:hAnsi="Arial" w:cs="Arial"/>
          <w:sz w:val="24"/>
          <w:szCs w:val="24"/>
        </w:rPr>
        <w:t>Occupational Maternity Pay</w:t>
      </w:r>
      <w:r>
        <w:rPr>
          <w:rFonts w:ascii="Arial" w:hAnsi="Arial" w:cs="Arial"/>
          <w:sz w:val="24"/>
          <w:szCs w:val="24"/>
        </w:rPr>
        <w:t xml:space="preserve"> (OMP) and </w:t>
      </w:r>
      <w:r w:rsidRPr="001528C4">
        <w:rPr>
          <w:rFonts w:ascii="Arial" w:hAnsi="Arial" w:cs="Arial"/>
          <w:sz w:val="24"/>
          <w:szCs w:val="24"/>
        </w:rPr>
        <w:t>Statutory Maternity Pay (SMP)</w:t>
      </w:r>
      <w:r>
        <w:rPr>
          <w:rFonts w:ascii="Arial" w:hAnsi="Arial" w:cs="Arial"/>
          <w:sz w:val="24"/>
          <w:szCs w:val="24"/>
        </w:rPr>
        <w:t xml:space="preserve">. To be eligible for OMP, you must have </w:t>
      </w:r>
      <w:r w:rsidRPr="00674F44">
        <w:rPr>
          <w:rFonts w:ascii="Arial" w:hAnsi="Arial" w:cs="Arial"/>
          <w:sz w:val="24"/>
          <w:szCs w:val="24"/>
        </w:rPr>
        <w:t>completed 12 months of continuous service with one or more NHS employer</w:t>
      </w:r>
      <w:r w:rsidR="00B7483B">
        <w:rPr>
          <w:rFonts w:ascii="Arial" w:hAnsi="Arial" w:cs="Arial"/>
          <w:sz w:val="24"/>
          <w:szCs w:val="24"/>
        </w:rPr>
        <w:t>s</w:t>
      </w:r>
      <w:r w:rsidRPr="00674F44">
        <w:rPr>
          <w:rFonts w:ascii="Arial" w:hAnsi="Arial" w:cs="Arial"/>
          <w:sz w:val="24"/>
          <w:szCs w:val="24"/>
        </w:rPr>
        <w:t xml:space="preserve"> at the beginning of the 11th week before the </w:t>
      </w:r>
      <w:r>
        <w:rPr>
          <w:rFonts w:ascii="Arial" w:hAnsi="Arial" w:cs="Arial"/>
          <w:sz w:val="24"/>
          <w:szCs w:val="24"/>
        </w:rPr>
        <w:t>expected week of childbirth.</w:t>
      </w:r>
    </w:p>
    <w:p w14:paraId="38EEC378" w14:textId="1ECB39C1" w:rsidR="00F61E2D" w:rsidRPr="001528C4" w:rsidRDefault="00EC3791" w:rsidP="001528C4">
      <w:pPr>
        <w:jc w:val="both"/>
        <w:rPr>
          <w:rFonts w:ascii="Arial" w:hAnsi="Arial" w:cs="Arial"/>
          <w:sz w:val="24"/>
          <w:szCs w:val="24"/>
        </w:rPr>
      </w:pPr>
      <w:r w:rsidRPr="001528C4">
        <w:rPr>
          <w:rFonts w:ascii="Arial" w:hAnsi="Arial" w:cs="Arial"/>
          <w:sz w:val="24"/>
          <w:szCs w:val="24"/>
        </w:rPr>
        <w:t xml:space="preserve">If you are entitled to receive </w:t>
      </w:r>
      <w:r w:rsidR="001528C4">
        <w:rPr>
          <w:rFonts w:ascii="Arial" w:hAnsi="Arial" w:cs="Arial"/>
          <w:sz w:val="24"/>
          <w:szCs w:val="24"/>
        </w:rPr>
        <w:t>OMP</w:t>
      </w:r>
      <w:r w:rsidRPr="001528C4">
        <w:rPr>
          <w:rFonts w:ascii="Arial" w:hAnsi="Arial" w:cs="Arial"/>
          <w:sz w:val="24"/>
          <w:szCs w:val="24"/>
        </w:rPr>
        <w:t>, p</w:t>
      </w:r>
      <w:r w:rsidR="00F61E2D" w:rsidRPr="001528C4">
        <w:rPr>
          <w:rFonts w:ascii="Arial" w:hAnsi="Arial" w:cs="Arial"/>
          <w:sz w:val="24"/>
          <w:szCs w:val="24"/>
        </w:rPr>
        <w:t xml:space="preserve">rior to commencing maternity leave, you may choose to have your </w:t>
      </w:r>
      <w:r w:rsidR="002F04DA">
        <w:rPr>
          <w:rFonts w:ascii="Arial" w:hAnsi="Arial" w:cs="Arial"/>
          <w:sz w:val="24"/>
          <w:szCs w:val="24"/>
        </w:rPr>
        <w:t>OMP</w:t>
      </w:r>
      <w:r w:rsidR="00F61E2D" w:rsidRPr="001528C4">
        <w:rPr>
          <w:rFonts w:ascii="Arial" w:hAnsi="Arial" w:cs="Arial"/>
          <w:sz w:val="24"/>
          <w:szCs w:val="24"/>
        </w:rPr>
        <w:t xml:space="preserve"> calculated over the whole </w:t>
      </w:r>
      <w:r w:rsidR="00EE2CFE" w:rsidRPr="001528C4">
        <w:rPr>
          <w:rFonts w:ascii="Arial" w:hAnsi="Arial" w:cs="Arial"/>
          <w:sz w:val="24"/>
          <w:szCs w:val="24"/>
        </w:rPr>
        <w:t xml:space="preserve">leave </w:t>
      </w:r>
      <w:r w:rsidR="00F61E2D" w:rsidRPr="001528C4">
        <w:rPr>
          <w:rFonts w:ascii="Arial" w:hAnsi="Arial" w:cs="Arial"/>
          <w:sz w:val="24"/>
          <w:szCs w:val="24"/>
        </w:rPr>
        <w:t xml:space="preserve">period in the format of equal payments to you. </w:t>
      </w:r>
      <w:r w:rsidR="009E695C" w:rsidRPr="001528C4">
        <w:rPr>
          <w:rFonts w:ascii="Arial" w:hAnsi="Arial" w:cs="Arial"/>
          <w:sz w:val="24"/>
          <w:szCs w:val="24"/>
        </w:rPr>
        <w:t>OMP can be split into equal payments between a period of 39 - 52 weeks</w:t>
      </w:r>
      <w:r w:rsidR="001528C4" w:rsidRPr="001528C4">
        <w:rPr>
          <w:rFonts w:ascii="Arial" w:hAnsi="Arial" w:cs="Arial"/>
          <w:sz w:val="24"/>
          <w:szCs w:val="24"/>
        </w:rPr>
        <w:t>.</w:t>
      </w:r>
    </w:p>
    <w:p w14:paraId="4FE8CB09" w14:textId="77777777" w:rsidR="003A5B65" w:rsidRDefault="00EC3791" w:rsidP="001528C4">
      <w:pPr>
        <w:jc w:val="both"/>
        <w:rPr>
          <w:rFonts w:ascii="Arial" w:hAnsi="Arial" w:cs="Arial"/>
          <w:sz w:val="24"/>
          <w:szCs w:val="24"/>
        </w:rPr>
      </w:pPr>
      <w:r w:rsidRPr="003A5B65">
        <w:rPr>
          <w:rFonts w:ascii="Arial" w:hAnsi="Arial" w:cs="Arial"/>
          <w:b/>
          <w:bCs/>
          <w:sz w:val="24"/>
          <w:szCs w:val="24"/>
        </w:rPr>
        <w:t>Please note</w:t>
      </w:r>
      <w:r w:rsidR="003A5B65">
        <w:rPr>
          <w:rFonts w:ascii="Arial" w:hAnsi="Arial" w:cs="Arial"/>
          <w:sz w:val="24"/>
          <w:szCs w:val="24"/>
        </w:rPr>
        <w:t>:</w:t>
      </w:r>
    </w:p>
    <w:p w14:paraId="78F62AD7" w14:textId="4999C879" w:rsidR="00EC3791" w:rsidRPr="003A5B65" w:rsidRDefault="003A5B65" w:rsidP="003A5B6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EC3791" w:rsidRPr="003A5B65">
        <w:rPr>
          <w:rFonts w:ascii="Arial" w:hAnsi="Arial" w:cs="Arial"/>
          <w:sz w:val="24"/>
          <w:szCs w:val="24"/>
        </w:rPr>
        <w:t>his applies only to the occupational element of the pay, Statutory Maternity Pay (SMP) cannot be equally split and can only be paid for a maximum 39 weeks.</w:t>
      </w:r>
    </w:p>
    <w:p w14:paraId="0CEF33DD" w14:textId="04ADBE8C" w:rsidR="003A5B65" w:rsidRDefault="003A5B65" w:rsidP="001528C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A5B65">
        <w:rPr>
          <w:rFonts w:ascii="Arial" w:hAnsi="Arial" w:cs="Arial"/>
          <w:sz w:val="24"/>
          <w:szCs w:val="24"/>
        </w:rPr>
        <w:t xml:space="preserve">If you intend to take Shared </w:t>
      </w:r>
      <w:r>
        <w:rPr>
          <w:rFonts w:ascii="Arial" w:hAnsi="Arial" w:cs="Arial"/>
          <w:sz w:val="24"/>
          <w:szCs w:val="24"/>
        </w:rPr>
        <w:t>Maternity</w:t>
      </w:r>
      <w:r w:rsidRPr="003A5B65">
        <w:rPr>
          <w:rFonts w:ascii="Arial" w:hAnsi="Arial" w:cs="Arial"/>
          <w:sz w:val="24"/>
          <w:szCs w:val="24"/>
        </w:rPr>
        <w:t xml:space="preserve"> Leave at any point, equal payments cannot be made</w:t>
      </w:r>
      <w:r>
        <w:rPr>
          <w:rFonts w:ascii="Arial" w:hAnsi="Arial" w:cs="Arial"/>
          <w:sz w:val="24"/>
          <w:szCs w:val="24"/>
        </w:rPr>
        <w:t>.</w:t>
      </w:r>
    </w:p>
    <w:p w14:paraId="2A0DD696" w14:textId="77777777" w:rsidR="003A5B65" w:rsidRPr="003A5B65" w:rsidRDefault="003A5B65" w:rsidP="003A5B65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36FC997A" w14:textId="2735013D" w:rsidR="00EC3791" w:rsidRPr="001528C4" w:rsidRDefault="00EC3791" w:rsidP="001528C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528C4">
        <w:rPr>
          <w:rFonts w:ascii="Arial" w:hAnsi="Arial" w:cs="Arial"/>
          <w:b/>
          <w:bCs/>
          <w:sz w:val="24"/>
          <w:szCs w:val="24"/>
        </w:rPr>
        <w:t>Worked Example</w:t>
      </w:r>
    </w:p>
    <w:p w14:paraId="1AC5F91F" w14:textId="7B9473F5" w:rsidR="002F04DA" w:rsidRDefault="001528C4" w:rsidP="001528C4">
      <w:pPr>
        <w:jc w:val="both"/>
        <w:rPr>
          <w:rFonts w:ascii="Arial" w:hAnsi="Arial" w:cs="Arial"/>
          <w:sz w:val="24"/>
          <w:szCs w:val="24"/>
        </w:rPr>
      </w:pPr>
      <w:r w:rsidRPr="001528C4">
        <w:rPr>
          <w:rFonts w:ascii="Arial" w:hAnsi="Arial" w:cs="Arial"/>
          <w:sz w:val="24"/>
          <w:szCs w:val="24"/>
        </w:rPr>
        <w:t xml:space="preserve">Below is an example of how equal payments are calculated based on a </w:t>
      </w:r>
      <w:r>
        <w:rPr>
          <w:rFonts w:ascii="Arial" w:hAnsi="Arial" w:cs="Arial"/>
          <w:sz w:val="24"/>
          <w:szCs w:val="24"/>
        </w:rPr>
        <w:t>G</w:t>
      </w:r>
      <w:r w:rsidRPr="001528C4">
        <w:rPr>
          <w:rFonts w:ascii="Arial" w:hAnsi="Arial" w:cs="Arial"/>
          <w:sz w:val="24"/>
          <w:szCs w:val="24"/>
        </w:rPr>
        <w:t>ross (before deductions e.g. tax, NI &amp; pension) monthly salary of £2000.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F04DA" w14:paraId="7C0C4AB1" w14:textId="77777777" w:rsidTr="002F04DA">
        <w:tc>
          <w:tcPr>
            <w:tcW w:w="9016" w:type="dxa"/>
            <w:shd w:val="clear" w:color="auto" w:fill="DAE9F7" w:themeFill="text2" w:themeFillTint="1A"/>
          </w:tcPr>
          <w:p w14:paraId="3D330828" w14:textId="77777777" w:rsidR="002F04DA" w:rsidRPr="00503BAA" w:rsidRDefault="002F04DA" w:rsidP="002F04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3BAA">
              <w:rPr>
                <w:rFonts w:ascii="Arial" w:hAnsi="Arial" w:cs="Arial"/>
                <w:sz w:val="24"/>
                <w:szCs w:val="24"/>
              </w:rPr>
              <w:t xml:space="preserve">If you earn £2000 Gross per month during the qualifying periods, your OMP would be calculated at £461.54 Gross per week (£2000 x 12 ÷ 52) </w:t>
            </w:r>
          </w:p>
          <w:p w14:paraId="7E43F484" w14:textId="77777777" w:rsidR="002F04DA" w:rsidRPr="00503BAA" w:rsidRDefault="002F04DA" w:rsidP="002F04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9CCBDE5" w14:textId="77777777" w:rsidR="002F04DA" w:rsidRPr="00503BAA" w:rsidRDefault="002F04DA" w:rsidP="002F04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3BAA">
              <w:rPr>
                <w:rFonts w:ascii="Arial" w:hAnsi="Arial" w:cs="Arial"/>
                <w:sz w:val="24"/>
                <w:szCs w:val="24"/>
              </w:rPr>
              <w:t xml:space="preserve">For your 8 weeks @ full pay = </w:t>
            </w:r>
            <w:r w:rsidRPr="00503BAA">
              <w:rPr>
                <w:rFonts w:ascii="Arial" w:hAnsi="Arial" w:cs="Arial"/>
                <w:sz w:val="24"/>
                <w:szCs w:val="24"/>
              </w:rPr>
              <w:tab/>
              <w:t xml:space="preserve">£3692.32 (8x £461.54) </w:t>
            </w:r>
          </w:p>
          <w:p w14:paraId="6E9DF273" w14:textId="77777777" w:rsidR="002F04DA" w:rsidRPr="00503BAA" w:rsidRDefault="002F04DA" w:rsidP="002F04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3BAA">
              <w:rPr>
                <w:rFonts w:ascii="Arial" w:hAnsi="Arial" w:cs="Arial"/>
                <w:sz w:val="24"/>
                <w:szCs w:val="24"/>
              </w:rPr>
              <w:t xml:space="preserve">18 weeks @ ½ pay = </w:t>
            </w:r>
            <w:r w:rsidRPr="00503BAA">
              <w:rPr>
                <w:rFonts w:ascii="Arial" w:hAnsi="Arial" w:cs="Arial"/>
                <w:sz w:val="24"/>
                <w:szCs w:val="24"/>
              </w:rPr>
              <w:tab/>
            </w:r>
            <w:r w:rsidRPr="00503BAA">
              <w:rPr>
                <w:rFonts w:ascii="Arial" w:hAnsi="Arial" w:cs="Arial"/>
                <w:sz w:val="24"/>
                <w:szCs w:val="24"/>
              </w:rPr>
              <w:tab/>
              <w:t xml:space="preserve">£4153.86 (18x £461.54 ÷ 2) </w:t>
            </w:r>
          </w:p>
          <w:p w14:paraId="3C6B1413" w14:textId="77777777" w:rsidR="002F04DA" w:rsidRPr="00503BAA" w:rsidRDefault="002F04DA" w:rsidP="002F04DA">
            <w:pPr>
              <w:ind w:left="2880" w:firstLine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3BAA">
              <w:rPr>
                <w:rFonts w:ascii="Arial" w:hAnsi="Arial" w:cs="Arial"/>
                <w:sz w:val="24"/>
                <w:szCs w:val="24"/>
              </w:rPr>
              <w:t>£7846.18</w:t>
            </w:r>
          </w:p>
          <w:p w14:paraId="612FD04B" w14:textId="77777777" w:rsidR="002F04DA" w:rsidRPr="00503BAA" w:rsidRDefault="002F04DA" w:rsidP="002F04DA">
            <w:pPr>
              <w:ind w:left="2880" w:firstLine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2EDDEC3" w14:textId="77777777" w:rsidR="002F04DA" w:rsidRPr="00503BAA" w:rsidRDefault="002F04DA" w:rsidP="002F04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3BAA">
              <w:rPr>
                <w:rFonts w:ascii="Arial" w:hAnsi="Arial" w:cs="Arial"/>
                <w:sz w:val="24"/>
                <w:szCs w:val="24"/>
              </w:rPr>
              <w:t>You must receive the SMP value for the 1</w:t>
            </w:r>
            <w:r w:rsidRPr="00503BAA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503BAA">
              <w:rPr>
                <w:rFonts w:ascii="Arial" w:hAnsi="Arial" w:cs="Arial"/>
                <w:sz w:val="24"/>
                <w:szCs w:val="24"/>
              </w:rPr>
              <w:t xml:space="preserve"> 6 weeks of your maternity pay.  This is 90% of your full pay.</w:t>
            </w:r>
          </w:p>
          <w:p w14:paraId="1FCF0497" w14:textId="77777777" w:rsidR="002F04DA" w:rsidRPr="00503BAA" w:rsidRDefault="002F04DA" w:rsidP="002F04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A87D215" w14:textId="77777777" w:rsidR="002F04DA" w:rsidRPr="00503BAA" w:rsidRDefault="002F04DA" w:rsidP="002F04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3BAA">
              <w:rPr>
                <w:rFonts w:ascii="Arial" w:hAnsi="Arial" w:cs="Arial"/>
                <w:sz w:val="24"/>
                <w:szCs w:val="24"/>
              </w:rPr>
              <w:t>6 weeks @ 90% = £461.54 x 90% = £415.39 x 6 = £2492.34</w:t>
            </w:r>
          </w:p>
          <w:p w14:paraId="3A98D3F7" w14:textId="77777777" w:rsidR="002F04DA" w:rsidRPr="00503BAA" w:rsidRDefault="002F04DA" w:rsidP="002F04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7933131" w14:textId="77777777" w:rsidR="002F04DA" w:rsidRPr="00503BAA" w:rsidRDefault="002F04DA" w:rsidP="002F04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3BAA">
              <w:rPr>
                <w:rFonts w:ascii="Arial" w:hAnsi="Arial" w:cs="Arial"/>
                <w:sz w:val="24"/>
                <w:szCs w:val="24"/>
              </w:rPr>
              <w:t>This value is deducted from your total maternity leave (£7846.18 as above)</w:t>
            </w:r>
          </w:p>
          <w:p w14:paraId="57CE557F" w14:textId="77777777" w:rsidR="002F04DA" w:rsidRPr="00503BAA" w:rsidRDefault="002F04DA" w:rsidP="002F04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4D2FC2B" w14:textId="77777777" w:rsidR="002F04DA" w:rsidRPr="00503BAA" w:rsidRDefault="002F04DA" w:rsidP="002F04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3BAA">
              <w:rPr>
                <w:rFonts w:ascii="Arial" w:hAnsi="Arial" w:cs="Arial"/>
                <w:sz w:val="24"/>
                <w:szCs w:val="24"/>
              </w:rPr>
              <w:t>£7846.18 - £2492.34 = £5353.84</w:t>
            </w:r>
          </w:p>
          <w:p w14:paraId="4FB55F0D" w14:textId="77777777" w:rsidR="002F04DA" w:rsidRDefault="002F04DA" w:rsidP="001528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50AFEAB" w14:textId="77777777" w:rsidR="002F04DA" w:rsidRDefault="002F04DA" w:rsidP="001528C4">
      <w:pPr>
        <w:jc w:val="both"/>
        <w:rPr>
          <w:rFonts w:ascii="Arial" w:hAnsi="Arial" w:cs="Arial"/>
          <w:sz w:val="24"/>
          <w:szCs w:val="24"/>
        </w:rPr>
      </w:pPr>
    </w:p>
    <w:p w14:paraId="79F5C5D7" w14:textId="12189904" w:rsidR="00F61E2D" w:rsidRDefault="00F61E2D" w:rsidP="001528C4">
      <w:pPr>
        <w:jc w:val="both"/>
        <w:rPr>
          <w:rFonts w:ascii="Arial" w:hAnsi="Arial" w:cs="Arial"/>
          <w:sz w:val="24"/>
          <w:szCs w:val="24"/>
        </w:rPr>
      </w:pPr>
      <w:r w:rsidRPr="001528C4">
        <w:rPr>
          <w:rFonts w:ascii="Arial" w:hAnsi="Arial" w:cs="Arial"/>
          <w:sz w:val="24"/>
          <w:szCs w:val="24"/>
        </w:rPr>
        <w:t>This remaining value is then divided equally by the remaining weeks left in your maternity leave.</w:t>
      </w:r>
      <w:r w:rsidR="002F04DA">
        <w:rPr>
          <w:rFonts w:ascii="Arial" w:hAnsi="Arial" w:cs="Arial"/>
          <w:sz w:val="24"/>
          <w:szCs w:val="24"/>
        </w:rPr>
        <w:t xml:space="preserve"> Examples of how this would work for a split over 39 weeks and a split over 52 weeks </w:t>
      </w:r>
      <w:r w:rsidR="00503BAA">
        <w:rPr>
          <w:rFonts w:ascii="Arial" w:hAnsi="Arial" w:cs="Arial"/>
          <w:sz w:val="24"/>
          <w:szCs w:val="24"/>
        </w:rPr>
        <w:t>are</w:t>
      </w:r>
      <w:r w:rsidR="002F04DA">
        <w:rPr>
          <w:rFonts w:ascii="Arial" w:hAnsi="Arial" w:cs="Arial"/>
          <w:sz w:val="24"/>
          <w:szCs w:val="24"/>
        </w:rPr>
        <w:t xml:space="preserve">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F04DA" w14:paraId="56851B83" w14:textId="77777777" w:rsidTr="002F04DA">
        <w:tc>
          <w:tcPr>
            <w:tcW w:w="9016" w:type="dxa"/>
            <w:shd w:val="clear" w:color="auto" w:fill="DAE9F7" w:themeFill="text2" w:themeFillTint="1A"/>
          </w:tcPr>
          <w:p w14:paraId="7FA0CA7D" w14:textId="5C3E1BE1" w:rsidR="002F04DA" w:rsidRPr="001528C4" w:rsidRDefault="002F04DA" w:rsidP="002F04D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28C4">
              <w:rPr>
                <w:rFonts w:ascii="Arial" w:hAnsi="Arial" w:cs="Arial"/>
                <w:b/>
                <w:bCs/>
                <w:sz w:val="24"/>
                <w:szCs w:val="24"/>
              </w:rPr>
              <w:t>39 equal payments</w:t>
            </w:r>
          </w:p>
        </w:tc>
      </w:tr>
      <w:tr w:rsidR="002F04DA" w14:paraId="28B50A86" w14:textId="77777777" w:rsidTr="002F04DA">
        <w:tc>
          <w:tcPr>
            <w:tcW w:w="9016" w:type="dxa"/>
          </w:tcPr>
          <w:p w14:paraId="78F44935" w14:textId="77777777" w:rsidR="002F04DA" w:rsidRDefault="002F04DA" w:rsidP="002F04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BB8B27D" w14:textId="14576CC4" w:rsidR="002F04DA" w:rsidRPr="001528C4" w:rsidRDefault="002F04DA" w:rsidP="002F04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28C4">
              <w:rPr>
                <w:rFonts w:ascii="Arial" w:hAnsi="Arial" w:cs="Arial"/>
                <w:sz w:val="24"/>
                <w:szCs w:val="24"/>
              </w:rPr>
              <w:lastRenderedPageBreak/>
              <w:t>6 weeks @ £415.39</w:t>
            </w:r>
          </w:p>
          <w:p w14:paraId="67A42CBD" w14:textId="3432662A" w:rsidR="002F04DA" w:rsidRPr="001528C4" w:rsidRDefault="002F04DA" w:rsidP="002F04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28C4">
              <w:rPr>
                <w:rFonts w:ascii="Arial" w:hAnsi="Arial" w:cs="Arial"/>
                <w:sz w:val="24"/>
                <w:szCs w:val="24"/>
              </w:rPr>
              <w:t>33 weeks @ £162.24 (£7846.18 - £2492.34 = £5353.84 / 33 = £162.24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114F4274" w14:textId="77777777" w:rsidR="002F04DA" w:rsidRDefault="002F04DA" w:rsidP="001528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6754BB0" w14:textId="77777777" w:rsidR="002F04DA" w:rsidRPr="001528C4" w:rsidRDefault="002F04DA" w:rsidP="001528C4">
      <w:pPr>
        <w:jc w:val="both"/>
        <w:rPr>
          <w:rFonts w:ascii="Arial" w:hAnsi="Arial" w:cs="Arial"/>
          <w:sz w:val="24"/>
          <w:szCs w:val="24"/>
        </w:rPr>
      </w:pPr>
    </w:p>
    <w:p w14:paraId="33284032" w14:textId="155E9270" w:rsidR="009E695C" w:rsidRPr="001528C4" w:rsidRDefault="009E695C" w:rsidP="001528C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528C4">
        <w:rPr>
          <w:rFonts w:ascii="Arial" w:hAnsi="Arial" w:cs="Arial"/>
          <w:b/>
          <w:bCs/>
          <w:sz w:val="24"/>
          <w:szCs w:val="24"/>
        </w:rPr>
        <w:t>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F04DA" w14:paraId="1A05A41B" w14:textId="77777777" w:rsidTr="002F04DA">
        <w:tc>
          <w:tcPr>
            <w:tcW w:w="9016" w:type="dxa"/>
            <w:shd w:val="clear" w:color="auto" w:fill="DAE9F7" w:themeFill="text2" w:themeFillTint="1A"/>
          </w:tcPr>
          <w:p w14:paraId="5ADAE164" w14:textId="5B02D296" w:rsidR="002F04DA" w:rsidRPr="002F04DA" w:rsidRDefault="002F04DA" w:rsidP="001528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28C4">
              <w:rPr>
                <w:rFonts w:ascii="Arial" w:hAnsi="Arial" w:cs="Arial"/>
                <w:b/>
                <w:bCs/>
                <w:sz w:val="24"/>
                <w:szCs w:val="24"/>
              </w:rPr>
              <w:t>52 equal payments</w:t>
            </w:r>
            <w:r w:rsidRPr="001528C4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2F04DA" w14:paraId="601A53EC" w14:textId="77777777" w:rsidTr="002F04DA">
        <w:tc>
          <w:tcPr>
            <w:tcW w:w="9016" w:type="dxa"/>
          </w:tcPr>
          <w:p w14:paraId="51B00AD8" w14:textId="77777777" w:rsidR="002F04DA" w:rsidRDefault="002F04DA" w:rsidP="002F04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E842AB3" w14:textId="6D041BEB" w:rsidR="002F04DA" w:rsidRPr="001528C4" w:rsidRDefault="002F04DA" w:rsidP="002F04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28C4">
              <w:rPr>
                <w:rFonts w:ascii="Arial" w:hAnsi="Arial" w:cs="Arial"/>
                <w:sz w:val="24"/>
                <w:szCs w:val="24"/>
              </w:rPr>
              <w:t>6 weeks @ £415.39</w:t>
            </w:r>
          </w:p>
          <w:p w14:paraId="7F66BBC3" w14:textId="16559A10" w:rsidR="002F04DA" w:rsidRPr="001528C4" w:rsidRDefault="002F04DA" w:rsidP="002F04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28C4">
              <w:rPr>
                <w:rFonts w:ascii="Arial" w:hAnsi="Arial" w:cs="Arial"/>
                <w:sz w:val="24"/>
                <w:szCs w:val="24"/>
              </w:rPr>
              <w:t>46 weeks @ £116.39 (£7846.18 – £2492.34 = £5353.84 / 46 = £116.39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65754D10" w14:textId="77777777" w:rsidR="002F04DA" w:rsidRDefault="002F04DA" w:rsidP="001528C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32998CB5" w14:textId="77777777" w:rsidR="002F04DA" w:rsidRDefault="002F04DA" w:rsidP="001528C4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E45920D" w14:textId="71C72C95" w:rsidR="00F61E2D" w:rsidRPr="001528C4" w:rsidRDefault="00F61E2D" w:rsidP="001528C4">
      <w:pPr>
        <w:jc w:val="both"/>
        <w:rPr>
          <w:rFonts w:ascii="Arial" w:hAnsi="Arial" w:cs="Arial"/>
          <w:sz w:val="24"/>
          <w:szCs w:val="24"/>
        </w:rPr>
      </w:pPr>
      <w:r w:rsidRPr="001528C4">
        <w:rPr>
          <w:rFonts w:ascii="Arial" w:hAnsi="Arial" w:cs="Arial"/>
          <w:sz w:val="24"/>
          <w:szCs w:val="24"/>
        </w:rPr>
        <w:t>Statutory Maternity Pay (SMP</w:t>
      </w:r>
      <w:r w:rsidR="00A77BDE" w:rsidRPr="001528C4">
        <w:rPr>
          <w:rFonts w:ascii="Arial" w:hAnsi="Arial" w:cs="Arial"/>
          <w:sz w:val="24"/>
          <w:szCs w:val="24"/>
        </w:rPr>
        <w:t>) cannot be equally split and can only be paid for a maximum 39 weeks.</w:t>
      </w:r>
    </w:p>
    <w:p w14:paraId="663F8CEC" w14:textId="397F7B6C" w:rsidR="00A77BDE" w:rsidRPr="001528C4" w:rsidRDefault="00A77BDE" w:rsidP="001528C4">
      <w:pPr>
        <w:jc w:val="both"/>
        <w:rPr>
          <w:rFonts w:ascii="Arial" w:hAnsi="Arial" w:cs="Arial"/>
          <w:sz w:val="24"/>
          <w:szCs w:val="24"/>
        </w:rPr>
      </w:pPr>
      <w:r w:rsidRPr="001528C4">
        <w:rPr>
          <w:rFonts w:ascii="Arial" w:hAnsi="Arial" w:cs="Arial"/>
          <w:sz w:val="24"/>
          <w:szCs w:val="24"/>
        </w:rPr>
        <w:t>SMP due = 6 weeks @ £</w:t>
      </w:r>
      <w:r w:rsidR="00796770" w:rsidRPr="001528C4">
        <w:rPr>
          <w:rFonts w:ascii="Arial" w:hAnsi="Arial" w:cs="Arial"/>
          <w:sz w:val="24"/>
          <w:szCs w:val="24"/>
        </w:rPr>
        <w:t>415.39</w:t>
      </w:r>
      <w:r w:rsidRPr="001528C4">
        <w:rPr>
          <w:rFonts w:ascii="Arial" w:hAnsi="Arial" w:cs="Arial"/>
          <w:sz w:val="24"/>
          <w:szCs w:val="24"/>
        </w:rPr>
        <w:t xml:space="preserve"> = £</w:t>
      </w:r>
      <w:r w:rsidR="00796770" w:rsidRPr="001528C4">
        <w:rPr>
          <w:rFonts w:ascii="Arial" w:hAnsi="Arial" w:cs="Arial"/>
          <w:sz w:val="24"/>
          <w:szCs w:val="24"/>
        </w:rPr>
        <w:t>2492.34</w:t>
      </w:r>
    </w:p>
    <w:p w14:paraId="0A4925B7" w14:textId="7C82858B" w:rsidR="00A77BDE" w:rsidRPr="001528C4" w:rsidRDefault="00A77BDE" w:rsidP="001528C4">
      <w:pPr>
        <w:jc w:val="both"/>
        <w:rPr>
          <w:rFonts w:ascii="Arial" w:hAnsi="Arial" w:cs="Arial"/>
          <w:sz w:val="24"/>
          <w:szCs w:val="24"/>
        </w:rPr>
      </w:pPr>
      <w:r w:rsidRPr="001528C4">
        <w:rPr>
          <w:rFonts w:ascii="Arial" w:hAnsi="Arial" w:cs="Arial"/>
          <w:sz w:val="24"/>
          <w:szCs w:val="24"/>
        </w:rPr>
        <w:t xml:space="preserve">                    33 weeks @ £187.18 = £6176.94             Total due = £</w:t>
      </w:r>
      <w:r w:rsidR="001C2313">
        <w:rPr>
          <w:rFonts w:ascii="Arial" w:hAnsi="Arial" w:cs="Arial"/>
          <w:sz w:val="24"/>
          <w:szCs w:val="24"/>
        </w:rPr>
        <w:t>8669.28</w:t>
      </w:r>
    </w:p>
    <w:p w14:paraId="7FBAE248" w14:textId="77777777" w:rsidR="002F04DA" w:rsidRDefault="002F04DA" w:rsidP="001528C4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4F31890" w14:textId="3D79ABA6" w:rsidR="00A77BDE" w:rsidRPr="001528C4" w:rsidRDefault="009E695C" w:rsidP="001528C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528C4">
        <w:rPr>
          <w:rFonts w:ascii="Arial" w:hAnsi="Arial" w:cs="Arial"/>
          <w:b/>
          <w:bCs/>
          <w:sz w:val="24"/>
          <w:szCs w:val="24"/>
        </w:rPr>
        <w:t>Worked Example -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4"/>
        <w:gridCol w:w="1583"/>
        <w:gridCol w:w="1737"/>
        <w:gridCol w:w="1831"/>
        <w:gridCol w:w="1271"/>
        <w:gridCol w:w="1080"/>
      </w:tblGrid>
      <w:tr w:rsidR="00EE2CFE" w:rsidRPr="001528C4" w14:paraId="0A74D573" w14:textId="12CF1F7D" w:rsidTr="00344049">
        <w:tc>
          <w:tcPr>
            <w:tcW w:w="1518" w:type="dxa"/>
            <w:shd w:val="clear" w:color="auto" w:fill="DAE9F7" w:themeFill="text2" w:themeFillTint="1A"/>
          </w:tcPr>
          <w:p w14:paraId="4752932D" w14:textId="4C41A5D1" w:rsidR="00EE2CFE" w:rsidRPr="001528C4" w:rsidRDefault="00EE2CFE" w:rsidP="001528C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28C4">
              <w:rPr>
                <w:rFonts w:ascii="Arial" w:hAnsi="Arial" w:cs="Arial"/>
                <w:b/>
                <w:bCs/>
                <w:sz w:val="24"/>
                <w:szCs w:val="24"/>
              </w:rPr>
              <w:t>Option</w:t>
            </w:r>
          </w:p>
        </w:tc>
        <w:tc>
          <w:tcPr>
            <w:tcW w:w="1596" w:type="dxa"/>
            <w:shd w:val="clear" w:color="auto" w:fill="DAE9F7" w:themeFill="text2" w:themeFillTint="1A"/>
          </w:tcPr>
          <w:p w14:paraId="1C2AF87E" w14:textId="0ED48D5E" w:rsidR="00EE2CFE" w:rsidRPr="001528C4" w:rsidRDefault="00EE2CFE" w:rsidP="001528C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28C4">
              <w:rPr>
                <w:rFonts w:ascii="Arial" w:hAnsi="Arial" w:cs="Arial"/>
                <w:b/>
                <w:bCs/>
                <w:sz w:val="24"/>
                <w:szCs w:val="24"/>
              </w:rPr>
              <w:t>Weeks</w:t>
            </w:r>
          </w:p>
        </w:tc>
        <w:tc>
          <w:tcPr>
            <w:tcW w:w="1701" w:type="dxa"/>
            <w:shd w:val="clear" w:color="auto" w:fill="DAE9F7" w:themeFill="text2" w:themeFillTint="1A"/>
          </w:tcPr>
          <w:p w14:paraId="378BB066" w14:textId="0D1A7ED3" w:rsidR="00EE2CFE" w:rsidRPr="001528C4" w:rsidRDefault="00EE2CFE" w:rsidP="001528C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28C4">
              <w:rPr>
                <w:rFonts w:ascii="Arial" w:hAnsi="Arial" w:cs="Arial"/>
                <w:b/>
                <w:bCs/>
                <w:sz w:val="24"/>
                <w:szCs w:val="24"/>
              </w:rPr>
              <w:t>Occupational maternity pay</w:t>
            </w:r>
          </w:p>
        </w:tc>
        <w:tc>
          <w:tcPr>
            <w:tcW w:w="1843" w:type="dxa"/>
            <w:shd w:val="clear" w:color="auto" w:fill="DAE9F7" w:themeFill="text2" w:themeFillTint="1A"/>
          </w:tcPr>
          <w:p w14:paraId="04FAFC7E" w14:textId="2D3DDDE7" w:rsidR="00EE2CFE" w:rsidRPr="001528C4" w:rsidRDefault="00EE2CFE" w:rsidP="001528C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28C4">
              <w:rPr>
                <w:rFonts w:ascii="Arial" w:hAnsi="Arial" w:cs="Arial"/>
                <w:b/>
                <w:bCs/>
                <w:sz w:val="24"/>
                <w:szCs w:val="24"/>
              </w:rPr>
              <w:t>Statutory maternity pay</w:t>
            </w:r>
          </w:p>
        </w:tc>
        <w:tc>
          <w:tcPr>
            <w:tcW w:w="1275" w:type="dxa"/>
            <w:shd w:val="clear" w:color="auto" w:fill="DAE9F7" w:themeFill="text2" w:themeFillTint="1A"/>
          </w:tcPr>
          <w:p w14:paraId="2BB53389" w14:textId="2780257F" w:rsidR="00EE2CFE" w:rsidRPr="001528C4" w:rsidRDefault="00EE2CFE" w:rsidP="001528C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28C4">
              <w:rPr>
                <w:rFonts w:ascii="Arial" w:hAnsi="Arial" w:cs="Arial"/>
                <w:b/>
                <w:bCs/>
                <w:sz w:val="24"/>
                <w:szCs w:val="24"/>
              </w:rPr>
              <w:t>Weekly Total</w:t>
            </w:r>
          </w:p>
        </w:tc>
        <w:tc>
          <w:tcPr>
            <w:tcW w:w="1083" w:type="dxa"/>
            <w:shd w:val="clear" w:color="auto" w:fill="DAE9F7" w:themeFill="text2" w:themeFillTint="1A"/>
          </w:tcPr>
          <w:p w14:paraId="2EF7C73E" w14:textId="7ABFAE90" w:rsidR="00EE2CFE" w:rsidRPr="001528C4" w:rsidRDefault="00EE2CFE" w:rsidP="001528C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28C4">
              <w:rPr>
                <w:rFonts w:ascii="Arial" w:hAnsi="Arial" w:cs="Arial"/>
                <w:b/>
                <w:bCs/>
                <w:sz w:val="24"/>
                <w:szCs w:val="24"/>
              </w:rPr>
              <w:t>Grand Total</w:t>
            </w:r>
          </w:p>
        </w:tc>
      </w:tr>
      <w:tr w:rsidR="00EE2CFE" w:rsidRPr="001528C4" w14:paraId="46CDB458" w14:textId="72A35E47" w:rsidTr="00344049">
        <w:tc>
          <w:tcPr>
            <w:tcW w:w="1518" w:type="dxa"/>
            <w:vMerge w:val="restart"/>
          </w:tcPr>
          <w:p w14:paraId="001583F9" w14:textId="1B1090A7" w:rsidR="00EE2CFE" w:rsidRPr="00503BAA" w:rsidRDefault="00EE2CFE" w:rsidP="001528C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3BAA">
              <w:rPr>
                <w:rFonts w:ascii="Arial" w:hAnsi="Arial" w:cs="Arial"/>
                <w:b/>
                <w:bCs/>
                <w:sz w:val="24"/>
                <w:szCs w:val="24"/>
              </w:rPr>
              <w:t>39 Equal payments</w:t>
            </w:r>
          </w:p>
        </w:tc>
        <w:tc>
          <w:tcPr>
            <w:tcW w:w="1596" w:type="dxa"/>
          </w:tcPr>
          <w:p w14:paraId="3F2D5353" w14:textId="40D06DB5" w:rsidR="00EE2CFE" w:rsidRPr="001528C4" w:rsidRDefault="00EE2CFE" w:rsidP="001528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28C4">
              <w:rPr>
                <w:rFonts w:ascii="Arial" w:hAnsi="Arial" w:cs="Arial"/>
                <w:sz w:val="24"/>
                <w:szCs w:val="24"/>
              </w:rPr>
              <w:t>1-6 (6 weeks)</w:t>
            </w:r>
          </w:p>
        </w:tc>
        <w:tc>
          <w:tcPr>
            <w:tcW w:w="1701" w:type="dxa"/>
          </w:tcPr>
          <w:p w14:paraId="48E279FC" w14:textId="742CACF2" w:rsidR="00EE2CFE" w:rsidRPr="001528C4" w:rsidRDefault="00344049" w:rsidP="001528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  <w:r w:rsidR="00F003EB" w:rsidRPr="001528C4">
              <w:rPr>
                <w:rFonts w:ascii="Arial" w:hAnsi="Arial" w:cs="Arial"/>
                <w:sz w:val="24"/>
                <w:szCs w:val="24"/>
              </w:rPr>
              <w:t>415.39</w:t>
            </w:r>
          </w:p>
        </w:tc>
        <w:tc>
          <w:tcPr>
            <w:tcW w:w="1843" w:type="dxa"/>
          </w:tcPr>
          <w:p w14:paraId="336E826D" w14:textId="77777777" w:rsidR="00EE2CFE" w:rsidRPr="001528C4" w:rsidRDefault="00EE2CFE" w:rsidP="001528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18E6D2F" w14:textId="25692A1B" w:rsidR="00EE2CFE" w:rsidRPr="001528C4" w:rsidRDefault="00EE2CFE" w:rsidP="001528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28C4">
              <w:rPr>
                <w:rFonts w:ascii="Arial" w:hAnsi="Arial" w:cs="Arial"/>
                <w:sz w:val="24"/>
                <w:szCs w:val="24"/>
              </w:rPr>
              <w:t>£</w:t>
            </w:r>
            <w:r w:rsidR="00F003EB" w:rsidRPr="001528C4">
              <w:rPr>
                <w:rFonts w:ascii="Arial" w:hAnsi="Arial" w:cs="Arial"/>
                <w:sz w:val="24"/>
                <w:szCs w:val="24"/>
              </w:rPr>
              <w:t>415.39</w:t>
            </w:r>
          </w:p>
        </w:tc>
        <w:tc>
          <w:tcPr>
            <w:tcW w:w="1083" w:type="dxa"/>
          </w:tcPr>
          <w:p w14:paraId="0064B1F3" w14:textId="77777777" w:rsidR="00EE2CFE" w:rsidRPr="001528C4" w:rsidRDefault="00EE2CFE" w:rsidP="001528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2CFE" w:rsidRPr="001528C4" w14:paraId="3BA675C1" w14:textId="320B56F9" w:rsidTr="00344049">
        <w:tc>
          <w:tcPr>
            <w:tcW w:w="1518" w:type="dxa"/>
            <w:vMerge/>
          </w:tcPr>
          <w:p w14:paraId="16466D12" w14:textId="77777777" w:rsidR="00EE2CFE" w:rsidRPr="001528C4" w:rsidRDefault="00EE2CFE" w:rsidP="001528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6" w:type="dxa"/>
          </w:tcPr>
          <w:p w14:paraId="5C8C74ED" w14:textId="1A809E96" w:rsidR="00EE2CFE" w:rsidRPr="001528C4" w:rsidRDefault="00EE2CFE" w:rsidP="001528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28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003EB" w:rsidRPr="001528C4">
              <w:rPr>
                <w:rFonts w:ascii="Arial" w:hAnsi="Arial" w:cs="Arial"/>
                <w:sz w:val="24"/>
                <w:szCs w:val="24"/>
              </w:rPr>
              <w:t>7</w:t>
            </w:r>
            <w:r w:rsidRPr="001528C4">
              <w:rPr>
                <w:rFonts w:ascii="Arial" w:hAnsi="Arial" w:cs="Arial"/>
                <w:sz w:val="24"/>
                <w:szCs w:val="24"/>
              </w:rPr>
              <w:t>-39 (33 weeks)</w:t>
            </w:r>
          </w:p>
        </w:tc>
        <w:tc>
          <w:tcPr>
            <w:tcW w:w="1701" w:type="dxa"/>
          </w:tcPr>
          <w:p w14:paraId="136E8397" w14:textId="726FA025" w:rsidR="00EE2CFE" w:rsidRPr="001528C4" w:rsidRDefault="00EE2CFE" w:rsidP="001528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28C4">
              <w:rPr>
                <w:rFonts w:ascii="Arial" w:hAnsi="Arial" w:cs="Arial"/>
                <w:sz w:val="24"/>
                <w:szCs w:val="24"/>
              </w:rPr>
              <w:t>£</w:t>
            </w:r>
            <w:r w:rsidR="00F003EB" w:rsidRPr="001528C4">
              <w:rPr>
                <w:rFonts w:ascii="Arial" w:hAnsi="Arial" w:cs="Arial"/>
                <w:sz w:val="24"/>
                <w:szCs w:val="24"/>
              </w:rPr>
              <w:t>162.24</w:t>
            </w:r>
          </w:p>
        </w:tc>
        <w:tc>
          <w:tcPr>
            <w:tcW w:w="1843" w:type="dxa"/>
          </w:tcPr>
          <w:p w14:paraId="11BAE304" w14:textId="0893D972" w:rsidR="00EE2CFE" w:rsidRPr="001528C4" w:rsidRDefault="00EE2CFE" w:rsidP="001528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28C4">
              <w:rPr>
                <w:rFonts w:ascii="Arial" w:hAnsi="Arial" w:cs="Arial"/>
                <w:sz w:val="24"/>
                <w:szCs w:val="24"/>
              </w:rPr>
              <w:t>£187.18</w:t>
            </w:r>
            <w:r w:rsidR="00F003EB" w:rsidRPr="001528C4">
              <w:rPr>
                <w:rFonts w:ascii="Arial" w:hAnsi="Arial" w:cs="Arial"/>
                <w:sz w:val="24"/>
                <w:szCs w:val="24"/>
              </w:rPr>
              <w:t xml:space="preserve"> - £11.34 = £175.84</w:t>
            </w:r>
          </w:p>
        </w:tc>
        <w:tc>
          <w:tcPr>
            <w:tcW w:w="1275" w:type="dxa"/>
          </w:tcPr>
          <w:p w14:paraId="49A3DBE8" w14:textId="7FE36DF7" w:rsidR="00EE2CFE" w:rsidRPr="001528C4" w:rsidRDefault="00EE2CFE" w:rsidP="001528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28C4">
              <w:rPr>
                <w:rFonts w:ascii="Arial" w:hAnsi="Arial" w:cs="Arial"/>
                <w:sz w:val="24"/>
                <w:szCs w:val="24"/>
              </w:rPr>
              <w:t>£</w:t>
            </w:r>
            <w:r w:rsidR="00F003EB" w:rsidRPr="001528C4">
              <w:rPr>
                <w:rFonts w:ascii="Arial" w:hAnsi="Arial" w:cs="Arial"/>
                <w:sz w:val="24"/>
                <w:szCs w:val="24"/>
              </w:rPr>
              <w:t>338.08</w:t>
            </w:r>
          </w:p>
        </w:tc>
        <w:tc>
          <w:tcPr>
            <w:tcW w:w="1083" w:type="dxa"/>
          </w:tcPr>
          <w:p w14:paraId="781461ED" w14:textId="77777777" w:rsidR="00EE2CFE" w:rsidRPr="001528C4" w:rsidRDefault="00EE2CFE" w:rsidP="001528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3BAA" w:rsidRPr="001528C4" w14:paraId="52835C9C" w14:textId="40FDB6A9" w:rsidTr="00503BAA">
        <w:tc>
          <w:tcPr>
            <w:tcW w:w="9016" w:type="dxa"/>
            <w:gridSpan w:val="6"/>
            <w:shd w:val="clear" w:color="auto" w:fill="DAE9F7" w:themeFill="text2" w:themeFillTint="1A"/>
          </w:tcPr>
          <w:p w14:paraId="60554B15" w14:textId="758894FE" w:rsidR="00503BAA" w:rsidRPr="00503BAA" w:rsidRDefault="00503BAA" w:rsidP="00503BA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3BAA">
              <w:rPr>
                <w:rFonts w:ascii="Arial" w:hAnsi="Arial" w:cs="Arial"/>
                <w:b/>
                <w:bCs/>
                <w:sz w:val="24"/>
                <w:szCs w:val="24"/>
              </w:rPr>
              <w:t>£13,648.98</w:t>
            </w:r>
          </w:p>
        </w:tc>
      </w:tr>
      <w:tr w:rsidR="00EE2CFE" w:rsidRPr="001528C4" w14:paraId="1B1B1539" w14:textId="432E4EBA" w:rsidTr="00344049">
        <w:tc>
          <w:tcPr>
            <w:tcW w:w="1518" w:type="dxa"/>
            <w:vMerge w:val="restart"/>
          </w:tcPr>
          <w:p w14:paraId="48E444F2" w14:textId="2D38CE57" w:rsidR="00EE2CFE" w:rsidRPr="00503BAA" w:rsidRDefault="00EE2CFE" w:rsidP="001528C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3BAA">
              <w:rPr>
                <w:rFonts w:ascii="Arial" w:hAnsi="Arial" w:cs="Arial"/>
                <w:b/>
                <w:bCs/>
                <w:sz w:val="24"/>
                <w:szCs w:val="24"/>
              </w:rPr>
              <w:t>52 equal payments</w:t>
            </w:r>
          </w:p>
        </w:tc>
        <w:tc>
          <w:tcPr>
            <w:tcW w:w="1596" w:type="dxa"/>
          </w:tcPr>
          <w:p w14:paraId="1484BF64" w14:textId="239EA754" w:rsidR="00EE2CFE" w:rsidRPr="001528C4" w:rsidRDefault="00EE2CFE" w:rsidP="001528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28C4">
              <w:rPr>
                <w:rFonts w:ascii="Arial" w:hAnsi="Arial" w:cs="Arial"/>
                <w:sz w:val="24"/>
                <w:szCs w:val="24"/>
              </w:rPr>
              <w:t>1-6 (6 weeks)</w:t>
            </w:r>
          </w:p>
        </w:tc>
        <w:tc>
          <w:tcPr>
            <w:tcW w:w="1701" w:type="dxa"/>
          </w:tcPr>
          <w:p w14:paraId="43AF1653" w14:textId="6947AB03" w:rsidR="00EE2CFE" w:rsidRPr="001528C4" w:rsidRDefault="00EE2CFE" w:rsidP="001528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28C4">
              <w:rPr>
                <w:rFonts w:ascii="Arial" w:hAnsi="Arial" w:cs="Arial"/>
                <w:sz w:val="24"/>
                <w:szCs w:val="24"/>
              </w:rPr>
              <w:t>£</w:t>
            </w:r>
            <w:r w:rsidR="00453E87" w:rsidRPr="001528C4">
              <w:rPr>
                <w:rFonts w:ascii="Arial" w:hAnsi="Arial" w:cs="Arial"/>
                <w:sz w:val="24"/>
                <w:szCs w:val="24"/>
              </w:rPr>
              <w:t>415.39</w:t>
            </w:r>
          </w:p>
        </w:tc>
        <w:tc>
          <w:tcPr>
            <w:tcW w:w="1843" w:type="dxa"/>
          </w:tcPr>
          <w:p w14:paraId="2EF8546E" w14:textId="77777777" w:rsidR="00EE2CFE" w:rsidRPr="001528C4" w:rsidRDefault="00EE2CFE" w:rsidP="001528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7CBD77B" w14:textId="684B686B" w:rsidR="00EE2CFE" w:rsidRPr="001528C4" w:rsidRDefault="00EE2CFE" w:rsidP="001528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28C4">
              <w:rPr>
                <w:rFonts w:ascii="Arial" w:hAnsi="Arial" w:cs="Arial"/>
                <w:sz w:val="24"/>
                <w:szCs w:val="24"/>
              </w:rPr>
              <w:t>£</w:t>
            </w:r>
            <w:r w:rsidR="00453E87" w:rsidRPr="001528C4">
              <w:rPr>
                <w:rFonts w:ascii="Arial" w:hAnsi="Arial" w:cs="Arial"/>
                <w:sz w:val="24"/>
                <w:szCs w:val="24"/>
              </w:rPr>
              <w:t>415.39</w:t>
            </w:r>
          </w:p>
        </w:tc>
        <w:tc>
          <w:tcPr>
            <w:tcW w:w="1083" w:type="dxa"/>
          </w:tcPr>
          <w:p w14:paraId="628F1733" w14:textId="77777777" w:rsidR="00EE2CFE" w:rsidRPr="001528C4" w:rsidRDefault="00EE2CFE" w:rsidP="001528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2CFE" w:rsidRPr="001528C4" w14:paraId="6D08E29D" w14:textId="2679F35E" w:rsidTr="00344049">
        <w:tc>
          <w:tcPr>
            <w:tcW w:w="1518" w:type="dxa"/>
            <w:vMerge/>
          </w:tcPr>
          <w:p w14:paraId="44E1DD98" w14:textId="77777777" w:rsidR="00EE2CFE" w:rsidRPr="001528C4" w:rsidRDefault="00EE2CFE" w:rsidP="001528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6" w:type="dxa"/>
          </w:tcPr>
          <w:p w14:paraId="7909EE51" w14:textId="4B31ADD4" w:rsidR="00EE2CFE" w:rsidRPr="001528C4" w:rsidRDefault="00EE2CFE" w:rsidP="001528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28C4">
              <w:rPr>
                <w:rFonts w:ascii="Arial" w:hAnsi="Arial" w:cs="Arial"/>
                <w:sz w:val="24"/>
                <w:szCs w:val="24"/>
              </w:rPr>
              <w:t xml:space="preserve"> 6-39 (33 weeks)</w:t>
            </w:r>
          </w:p>
        </w:tc>
        <w:tc>
          <w:tcPr>
            <w:tcW w:w="1701" w:type="dxa"/>
          </w:tcPr>
          <w:p w14:paraId="0D0885A0" w14:textId="135C2094" w:rsidR="00EE2CFE" w:rsidRPr="001528C4" w:rsidRDefault="00EE2CFE" w:rsidP="001528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28C4">
              <w:rPr>
                <w:rFonts w:ascii="Arial" w:hAnsi="Arial" w:cs="Arial"/>
                <w:sz w:val="24"/>
                <w:szCs w:val="24"/>
              </w:rPr>
              <w:t>£</w:t>
            </w:r>
            <w:r w:rsidR="00453E87" w:rsidRPr="001528C4">
              <w:rPr>
                <w:rFonts w:ascii="Arial" w:hAnsi="Arial" w:cs="Arial"/>
                <w:sz w:val="24"/>
                <w:szCs w:val="24"/>
              </w:rPr>
              <w:t>116.39</w:t>
            </w:r>
          </w:p>
        </w:tc>
        <w:tc>
          <w:tcPr>
            <w:tcW w:w="1843" w:type="dxa"/>
          </w:tcPr>
          <w:p w14:paraId="1AFB09B1" w14:textId="041BDD71" w:rsidR="00EE2CFE" w:rsidRPr="001528C4" w:rsidRDefault="00EE2CFE" w:rsidP="001528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28C4">
              <w:rPr>
                <w:rFonts w:ascii="Arial" w:hAnsi="Arial" w:cs="Arial"/>
                <w:sz w:val="24"/>
                <w:szCs w:val="24"/>
              </w:rPr>
              <w:t>£187.16</w:t>
            </w:r>
            <w:r w:rsidR="00453E87" w:rsidRPr="001528C4">
              <w:rPr>
                <w:rFonts w:ascii="Arial" w:hAnsi="Arial" w:cs="Arial"/>
                <w:sz w:val="24"/>
                <w:szCs w:val="24"/>
              </w:rPr>
              <w:t xml:space="preserve"> - £11.34 = £175.84</w:t>
            </w:r>
          </w:p>
        </w:tc>
        <w:tc>
          <w:tcPr>
            <w:tcW w:w="1275" w:type="dxa"/>
          </w:tcPr>
          <w:p w14:paraId="2BAF987A" w14:textId="37EFAC56" w:rsidR="00EE2CFE" w:rsidRPr="001528C4" w:rsidRDefault="00EE2CFE" w:rsidP="001528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28C4">
              <w:rPr>
                <w:rFonts w:ascii="Arial" w:hAnsi="Arial" w:cs="Arial"/>
                <w:sz w:val="24"/>
                <w:szCs w:val="24"/>
              </w:rPr>
              <w:t>£2</w:t>
            </w:r>
            <w:r w:rsidR="00453E87" w:rsidRPr="001528C4">
              <w:rPr>
                <w:rFonts w:ascii="Arial" w:hAnsi="Arial" w:cs="Arial"/>
                <w:sz w:val="24"/>
                <w:szCs w:val="24"/>
              </w:rPr>
              <w:t>92.23</w:t>
            </w:r>
          </w:p>
        </w:tc>
        <w:tc>
          <w:tcPr>
            <w:tcW w:w="1083" w:type="dxa"/>
          </w:tcPr>
          <w:p w14:paraId="2F7A2FF2" w14:textId="77777777" w:rsidR="00EE2CFE" w:rsidRPr="001528C4" w:rsidRDefault="00EE2CFE" w:rsidP="001528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2CFE" w:rsidRPr="001528C4" w14:paraId="7184CD52" w14:textId="7D8E25BC" w:rsidTr="00344049">
        <w:tc>
          <w:tcPr>
            <w:tcW w:w="1518" w:type="dxa"/>
            <w:vMerge/>
          </w:tcPr>
          <w:p w14:paraId="7994110C" w14:textId="77777777" w:rsidR="00EE2CFE" w:rsidRPr="001528C4" w:rsidRDefault="00EE2CFE" w:rsidP="001528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6" w:type="dxa"/>
          </w:tcPr>
          <w:p w14:paraId="199FF11F" w14:textId="15232E8B" w:rsidR="00EE2CFE" w:rsidRPr="001528C4" w:rsidRDefault="00EE2CFE" w:rsidP="001528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28C4">
              <w:rPr>
                <w:rFonts w:ascii="Arial" w:hAnsi="Arial" w:cs="Arial"/>
                <w:sz w:val="24"/>
                <w:szCs w:val="24"/>
              </w:rPr>
              <w:t>39-52 (13 weeks)</w:t>
            </w:r>
          </w:p>
        </w:tc>
        <w:tc>
          <w:tcPr>
            <w:tcW w:w="1701" w:type="dxa"/>
          </w:tcPr>
          <w:p w14:paraId="27F1F46D" w14:textId="6580F093" w:rsidR="00EE2CFE" w:rsidRPr="001528C4" w:rsidRDefault="00EE2CFE" w:rsidP="001528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28C4">
              <w:rPr>
                <w:rFonts w:ascii="Arial" w:hAnsi="Arial" w:cs="Arial"/>
                <w:sz w:val="24"/>
                <w:szCs w:val="24"/>
              </w:rPr>
              <w:t>£</w:t>
            </w:r>
            <w:r w:rsidR="00453E87" w:rsidRPr="001528C4">
              <w:rPr>
                <w:rFonts w:ascii="Arial" w:hAnsi="Arial" w:cs="Arial"/>
                <w:sz w:val="24"/>
                <w:szCs w:val="24"/>
              </w:rPr>
              <w:t>116.39</w:t>
            </w:r>
          </w:p>
        </w:tc>
        <w:tc>
          <w:tcPr>
            <w:tcW w:w="1843" w:type="dxa"/>
          </w:tcPr>
          <w:p w14:paraId="083ABBFD" w14:textId="77777777" w:rsidR="00EE2CFE" w:rsidRPr="001528C4" w:rsidRDefault="00EE2CFE" w:rsidP="001528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04A89D6" w14:textId="46956F94" w:rsidR="00EE2CFE" w:rsidRPr="001528C4" w:rsidRDefault="00EE2CFE" w:rsidP="001528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28C4">
              <w:rPr>
                <w:rFonts w:ascii="Arial" w:hAnsi="Arial" w:cs="Arial"/>
                <w:sz w:val="24"/>
                <w:szCs w:val="24"/>
              </w:rPr>
              <w:t>£</w:t>
            </w:r>
            <w:r w:rsidR="00453E87" w:rsidRPr="001528C4">
              <w:rPr>
                <w:rFonts w:ascii="Arial" w:hAnsi="Arial" w:cs="Arial"/>
                <w:sz w:val="24"/>
                <w:szCs w:val="24"/>
              </w:rPr>
              <w:t>116.39</w:t>
            </w:r>
          </w:p>
        </w:tc>
        <w:tc>
          <w:tcPr>
            <w:tcW w:w="1083" w:type="dxa"/>
          </w:tcPr>
          <w:p w14:paraId="514AA0CC" w14:textId="77777777" w:rsidR="00EE2CFE" w:rsidRPr="001528C4" w:rsidRDefault="00EE2CFE" w:rsidP="001528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3BAA" w:rsidRPr="001528C4" w14:paraId="00FEBABD" w14:textId="77777777" w:rsidTr="00503BAA">
        <w:tc>
          <w:tcPr>
            <w:tcW w:w="9016" w:type="dxa"/>
            <w:gridSpan w:val="6"/>
            <w:shd w:val="clear" w:color="auto" w:fill="DAE9F7" w:themeFill="text2" w:themeFillTint="1A"/>
          </w:tcPr>
          <w:p w14:paraId="40D9DCF7" w14:textId="42E10322" w:rsidR="00503BAA" w:rsidRPr="00503BAA" w:rsidRDefault="00503BAA" w:rsidP="00503BA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3BAA">
              <w:rPr>
                <w:rFonts w:ascii="Arial" w:hAnsi="Arial" w:cs="Arial"/>
                <w:b/>
                <w:bCs/>
                <w:sz w:val="24"/>
                <w:szCs w:val="24"/>
              </w:rPr>
              <w:t>£13,648.98</w:t>
            </w:r>
          </w:p>
        </w:tc>
      </w:tr>
    </w:tbl>
    <w:p w14:paraId="41999E08" w14:textId="77777777" w:rsidR="00EC3791" w:rsidRPr="001528C4" w:rsidRDefault="00EC3791" w:rsidP="001528C4">
      <w:pPr>
        <w:jc w:val="both"/>
        <w:rPr>
          <w:rFonts w:ascii="Arial" w:hAnsi="Arial" w:cs="Arial"/>
          <w:sz w:val="24"/>
          <w:szCs w:val="24"/>
        </w:rPr>
      </w:pPr>
    </w:p>
    <w:p w14:paraId="4D15E301" w14:textId="52C3D068" w:rsidR="00A77BDE" w:rsidRPr="001528C4" w:rsidRDefault="00A77BDE" w:rsidP="001528C4">
      <w:pPr>
        <w:jc w:val="both"/>
        <w:rPr>
          <w:rFonts w:ascii="Arial" w:hAnsi="Arial" w:cs="Arial"/>
          <w:sz w:val="24"/>
          <w:szCs w:val="24"/>
        </w:rPr>
      </w:pPr>
      <w:r w:rsidRPr="001528C4">
        <w:rPr>
          <w:rFonts w:ascii="Arial" w:hAnsi="Arial" w:cs="Arial"/>
          <w:sz w:val="24"/>
          <w:szCs w:val="24"/>
        </w:rPr>
        <w:t>When on full pay, the SMP for weeks 7 &amp; 8 would normally be paid and offset.</w:t>
      </w:r>
      <w:r w:rsidR="0059145B" w:rsidRPr="001528C4">
        <w:rPr>
          <w:rFonts w:ascii="Arial" w:hAnsi="Arial" w:cs="Arial"/>
          <w:sz w:val="24"/>
          <w:szCs w:val="24"/>
        </w:rPr>
        <w:t xml:space="preserve">  This will be paid, but to maintain equal payments the offset will be equally split over the remaining 33 weeks.</w:t>
      </w:r>
    </w:p>
    <w:p w14:paraId="03205BC1" w14:textId="2331B978" w:rsidR="00A77BDE" w:rsidRDefault="0059145B" w:rsidP="001528C4">
      <w:pPr>
        <w:jc w:val="both"/>
        <w:rPr>
          <w:rFonts w:ascii="Arial" w:hAnsi="Arial" w:cs="Arial"/>
          <w:sz w:val="24"/>
          <w:szCs w:val="24"/>
        </w:rPr>
      </w:pPr>
      <w:r w:rsidRPr="001528C4">
        <w:rPr>
          <w:rFonts w:ascii="Arial" w:hAnsi="Arial" w:cs="Arial"/>
          <w:sz w:val="24"/>
          <w:szCs w:val="24"/>
        </w:rPr>
        <w:t xml:space="preserve">2 x £187.18 = £374.36 / 33 = £11.34 will offset </w:t>
      </w:r>
      <w:r w:rsidR="009E695C" w:rsidRPr="001528C4">
        <w:rPr>
          <w:rFonts w:ascii="Arial" w:hAnsi="Arial" w:cs="Arial"/>
          <w:sz w:val="24"/>
          <w:szCs w:val="24"/>
        </w:rPr>
        <w:t xml:space="preserve">(deducted) </w:t>
      </w:r>
      <w:r w:rsidRPr="001528C4">
        <w:rPr>
          <w:rFonts w:ascii="Arial" w:hAnsi="Arial" w:cs="Arial"/>
          <w:sz w:val="24"/>
          <w:szCs w:val="24"/>
        </w:rPr>
        <w:t>each week.</w:t>
      </w:r>
    </w:p>
    <w:p w14:paraId="109731D4" w14:textId="77777777" w:rsidR="00674F44" w:rsidRDefault="00674F44" w:rsidP="001528C4">
      <w:pPr>
        <w:jc w:val="both"/>
        <w:rPr>
          <w:rFonts w:ascii="Arial" w:hAnsi="Arial" w:cs="Arial"/>
          <w:sz w:val="24"/>
          <w:szCs w:val="24"/>
        </w:rPr>
      </w:pPr>
    </w:p>
    <w:p w14:paraId="54E21B7C" w14:textId="50258B19" w:rsidR="00B81662" w:rsidRPr="00B81662" w:rsidRDefault="00B81662" w:rsidP="001528C4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Further</w:t>
      </w:r>
      <w:r w:rsidRPr="00B81662">
        <w:rPr>
          <w:rFonts w:ascii="Arial" w:hAnsi="Arial" w:cs="Arial"/>
          <w:b/>
          <w:bCs/>
          <w:sz w:val="24"/>
          <w:szCs w:val="24"/>
        </w:rPr>
        <w:t xml:space="preserve"> Information</w:t>
      </w:r>
    </w:p>
    <w:p w14:paraId="00C666DF" w14:textId="5BD8848C" w:rsidR="00B81662" w:rsidRDefault="00B81662" w:rsidP="001528C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For further advice on equal payments, please contact payroll on 0131 536 4560 or raise a ticket via </w:t>
      </w:r>
      <w:hyperlink r:id="rId12" w:history="1">
        <w:r w:rsidRPr="00B81662">
          <w:rPr>
            <w:rStyle w:val="Hyperlink"/>
            <w:rFonts w:ascii="Arial" w:hAnsi="Arial" w:cs="Arial"/>
            <w:sz w:val="24"/>
            <w:szCs w:val="24"/>
          </w:rPr>
          <w:t>Payroll Portal - NHSL</w:t>
        </w:r>
      </w:hyperlink>
    </w:p>
    <w:p w14:paraId="71641870" w14:textId="05DE598D" w:rsidR="00974A11" w:rsidRPr="001528C4" w:rsidRDefault="00974A11" w:rsidP="001528C4">
      <w:pPr>
        <w:jc w:val="both"/>
        <w:rPr>
          <w:rFonts w:ascii="Arial" w:hAnsi="Arial" w:cs="Arial"/>
          <w:sz w:val="24"/>
          <w:szCs w:val="24"/>
        </w:rPr>
      </w:pPr>
    </w:p>
    <w:sectPr w:rsidR="00974A11" w:rsidRPr="001528C4" w:rsidSect="009E695C"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54605" w14:textId="77777777" w:rsidR="00A93A17" w:rsidRDefault="00A93A17" w:rsidP="009E695C">
      <w:pPr>
        <w:spacing w:after="0" w:line="240" w:lineRule="auto"/>
      </w:pPr>
      <w:r>
        <w:separator/>
      </w:r>
    </w:p>
  </w:endnote>
  <w:endnote w:type="continuationSeparator" w:id="0">
    <w:p w14:paraId="71F8BF8E" w14:textId="77777777" w:rsidR="00A93A17" w:rsidRDefault="00A93A17" w:rsidP="009E6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960C" w14:textId="1C8C4076" w:rsidR="009E695C" w:rsidRPr="009E64BE" w:rsidRDefault="009E695C">
    <w:pPr>
      <w:pStyle w:val="Footer"/>
      <w:rPr>
        <w:sz w:val="20"/>
        <w:szCs w:val="20"/>
      </w:rPr>
    </w:pPr>
    <w:r w:rsidRPr="009E64BE">
      <w:rPr>
        <w:sz w:val="20"/>
        <w:szCs w:val="20"/>
      </w:rPr>
      <w:t>Author: HR Policy</w:t>
    </w:r>
    <w:r w:rsidRPr="009E64BE">
      <w:rPr>
        <w:sz w:val="20"/>
        <w:szCs w:val="20"/>
      </w:rPr>
      <w:tab/>
    </w:r>
    <w:r w:rsidR="009E64BE" w:rsidRPr="009E64BE">
      <w:rPr>
        <w:sz w:val="20"/>
        <w:szCs w:val="20"/>
      </w:rPr>
      <w:tab/>
    </w:r>
    <w:r w:rsidRPr="009E64BE">
      <w:rPr>
        <w:sz w:val="20"/>
        <w:szCs w:val="20"/>
      </w:rPr>
      <w:t>Type: Guidance</w:t>
    </w:r>
  </w:p>
  <w:p w14:paraId="4AB09F7F" w14:textId="4B91A21E" w:rsidR="009E695C" w:rsidRDefault="009E695C">
    <w:pPr>
      <w:pStyle w:val="Footer"/>
    </w:pPr>
    <w:r w:rsidRPr="009E64BE">
      <w:rPr>
        <w:sz w:val="20"/>
        <w:szCs w:val="20"/>
      </w:rPr>
      <w:t>Published: April 2025</w:t>
    </w:r>
    <w:r w:rsidRPr="009E64BE">
      <w:rPr>
        <w:sz w:val="20"/>
        <w:szCs w:val="20"/>
      </w:rPr>
      <w:tab/>
    </w:r>
    <w:r w:rsidR="009E64BE" w:rsidRPr="009E64BE">
      <w:rPr>
        <w:sz w:val="20"/>
        <w:szCs w:val="20"/>
      </w:rPr>
      <w:tab/>
    </w:r>
    <w:r w:rsidRPr="009E64BE">
      <w:rPr>
        <w:sz w:val="20"/>
        <w:szCs w:val="20"/>
      </w:rPr>
      <w:t>Review: April 2027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E633B" w14:textId="77777777" w:rsidR="00A93A17" w:rsidRDefault="00A93A17" w:rsidP="009E695C">
      <w:pPr>
        <w:spacing w:after="0" w:line="240" w:lineRule="auto"/>
      </w:pPr>
      <w:r>
        <w:separator/>
      </w:r>
    </w:p>
  </w:footnote>
  <w:footnote w:type="continuationSeparator" w:id="0">
    <w:p w14:paraId="3045E206" w14:textId="77777777" w:rsidR="00A93A17" w:rsidRDefault="00A93A17" w:rsidP="009E6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26A2B"/>
    <w:multiLevelType w:val="hybridMultilevel"/>
    <w:tmpl w:val="85882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677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E2D"/>
    <w:rsid w:val="001528C4"/>
    <w:rsid w:val="001924D6"/>
    <w:rsid w:val="001C2313"/>
    <w:rsid w:val="002B534F"/>
    <w:rsid w:val="002F04DA"/>
    <w:rsid w:val="00311F9A"/>
    <w:rsid w:val="00344049"/>
    <w:rsid w:val="00373C05"/>
    <w:rsid w:val="00375BA2"/>
    <w:rsid w:val="003A5B65"/>
    <w:rsid w:val="003C2253"/>
    <w:rsid w:val="00453E87"/>
    <w:rsid w:val="004C6063"/>
    <w:rsid w:val="00503BAA"/>
    <w:rsid w:val="0056173B"/>
    <w:rsid w:val="0059145B"/>
    <w:rsid w:val="005B12A1"/>
    <w:rsid w:val="00616B94"/>
    <w:rsid w:val="006502D9"/>
    <w:rsid w:val="00674F44"/>
    <w:rsid w:val="007651D5"/>
    <w:rsid w:val="00796770"/>
    <w:rsid w:val="00974A11"/>
    <w:rsid w:val="009B3BE9"/>
    <w:rsid w:val="009E64BE"/>
    <w:rsid w:val="009E695C"/>
    <w:rsid w:val="00A77BDE"/>
    <w:rsid w:val="00A93A17"/>
    <w:rsid w:val="00AF2B86"/>
    <w:rsid w:val="00B7483B"/>
    <w:rsid w:val="00B81662"/>
    <w:rsid w:val="00C93B5F"/>
    <w:rsid w:val="00E719B2"/>
    <w:rsid w:val="00E915C4"/>
    <w:rsid w:val="00EC3791"/>
    <w:rsid w:val="00EE2CFE"/>
    <w:rsid w:val="00F003EB"/>
    <w:rsid w:val="00F422C8"/>
    <w:rsid w:val="00F6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AF20A"/>
  <w15:chartTrackingRefBased/>
  <w15:docId w15:val="{28B794E6-0601-4204-854B-EB40F49A8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E2D"/>
  </w:style>
  <w:style w:type="paragraph" w:styleId="Heading1">
    <w:name w:val="heading 1"/>
    <w:basedOn w:val="Normal"/>
    <w:next w:val="Normal"/>
    <w:link w:val="Heading1Char"/>
    <w:uiPriority w:val="9"/>
    <w:qFormat/>
    <w:rsid w:val="00F61E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1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1E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1E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1E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1E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1E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1E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1E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1E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1E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1E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1E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1E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1E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1E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1E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1E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1E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1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1E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1E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1E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1E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1E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1E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1E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1E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1E2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C3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C379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E2C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2C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2C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C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CF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E69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95C"/>
  </w:style>
  <w:style w:type="paragraph" w:styleId="Footer">
    <w:name w:val="footer"/>
    <w:basedOn w:val="Normal"/>
    <w:link w:val="FooterChar"/>
    <w:uiPriority w:val="99"/>
    <w:unhideWhenUsed/>
    <w:rsid w:val="009E69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95C"/>
  </w:style>
  <w:style w:type="character" w:styleId="Hyperlink">
    <w:name w:val="Hyperlink"/>
    <w:basedOn w:val="DefaultParagraphFont"/>
    <w:uiPriority w:val="99"/>
    <w:unhideWhenUsed/>
    <w:rsid w:val="00B8166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16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hsnss.service-now.com/nhslpa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45C1A9C88BF048B91DC5AE89245074" ma:contentTypeVersion="1" ma:contentTypeDescription="Create a new document." ma:contentTypeScope="" ma:versionID="56dc36423e4d4a28d692957f3b9cabe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382E67-B9F7-4F07-8F2A-B296A13876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A0D7998-2EB3-429D-BBB7-01CD4B051D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099ACF-769F-4074-A4FA-CD31417635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FBA0B0-0AB3-4C0F-A101-693A422C078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4199b9c-a89e-442f-9799-431511f14748}" enabled="1" method="Privileged" siteId="{10efe0bd-a030-4bca-809c-b5e6745e499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460</Words>
  <Characters>2625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Devlin, Alan</dc:creator>
  <cp:keywords/>
  <dc:description/>
  <cp:lastModifiedBy>Hallows, Rachel</cp:lastModifiedBy>
  <cp:revision>2</cp:revision>
  <dcterms:created xsi:type="dcterms:W3CDTF">2025-08-28T08:01:00Z</dcterms:created>
  <dcterms:modified xsi:type="dcterms:W3CDTF">2025-08-28T08:01:00Z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0x010100E245C1A9C88BF048B91DC5AE89245074</vt:lpwstr>
  </property>
</Properties>
</file>